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30"/>
        <w:jc w:val="center"/>
      </w:pPr>
      <w:r>
        <w:rPr>
          <w:color w:val="6B7280"/>
        </w:rPr>
        <w:t>Ответы:</w:t>
      </w:r>
      <w:r>
        <w:t xml:space="preserve"> ВПР по обществознанию 6 класс</w:t>
      </w:r>
    </w:p>
    <w:p>
      <w:pPr>
        <w:pStyle w:val="aa"/>
        <w:ind w:left="0" w:right="0"/>
      </w:pPr>
      <w:r/>
      <w:r>
        <w:t xml:space="preserve">   1   </w:t>
      </w:r>
    </w:p>
    <w:p>
      <w:pPr>
        <w:ind w:left="0" w:right="0"/>
      </w:pPr>
      <w:r/>
    </w:p>
    <w:p>
      <w:pPr>
        <w:ind w:left="0" w:right="0"/>
      </w:pPr>
      <w:r/>
      <w:r>
        <w:t>Правильный ответ должен содержать следующие элементы:</w:t>
        <w:br/>
      </w:r>
      <w:r>
        <w:t>1) ответ на первый вопрос, например: чтобы обеспечить себе и своей семье необходимые материальные условия для жизни ИЛИ чтобы реализовать свои способности, приносить пользу своей Родине;</w:t>
        <w:br/>
      </w:r>
      <w:r>
        <w:t>(Может быть дан иной уместный ответ на вопрос.)</w:t>
        <w:br/>
      </w:r>
      <w:r>
        <w:t>2) рассказ о своей будущей профессии должен включать:</w:t>
        <w:br/>
      </w:r>
      <w:r>
        <w:t>– указание профессии, которая привлекает обучающегося;</w:t>
        <w:br/>
      </w:r>
      <w:r>
        <w:t>– объяснение того, почему указанная профессия представляет интерес для обучающегося;</w:t>
        <w:br/>
      </w:r>
      <w:r>
        <w:t>– указание одного или нескольких учебных предметов, качеств личности, необходимых профессионалу;</w:t>
        <w:br/>
      </w:r>
      <w:r>
        <w:t>– объяснение своего выбора учебных предметов и качеств личности</w:t>
      </w:r>
    </w:p>
    <w:p>
      <w:pPr>
        <w:pStyle w:val="aa"/>
        <w:ind w:left="0" w:right="0"/>
      </w:pPr>
      <w:r/>
      <w:r>
        <w:t xml:space="preserve">   2   </w:t>
      </w:r>
    </w:p>
    <w:p>
      <w:pPr>
        <w:ind w:left="0" w:right="0"/>
      </w:pPr>
      <w:r/>
    </w:p>
    <w:p>
      <w:pPr>
        <w:ind w:left="0" w:right="0"/>
      </w:pPr>
      <w:r/>
      <w:r>
        <w:t>234</w:t>
      </w:r>
    </w:p>
    <w:p>
      <w:pPr>
        <w:pStyle w:val="aa"/>
        <w:ind w:left="0" w:right="0"/>
      </w:pPr>
      <w:r/>
      <w:r>
        <w:t xml:space="preserve">   3   </w:t>
      </w:r>
    </w:p>
    <w:p>
      <w:pPr>
        <w:ind w:left="0" w:right="0"/>
      </w:pPr>
      <w:r/>
    </w:p>
    <w:p>
      <w:pPr>
        <w:ind w:left="0" w:right="0"/>
      </w:pPr>
      <w:r/>
      <w:r>
        <w:t>1312</w:t>
      </w:r>
    </w:p>
    <w:p>
      <w:pPr>
        <w:pStyle w:val="aa"/>
        <w:ind w:left="0" w:right="0"/>
      </w:pPr>
      <w:r/>
      <w:r>
        <w:t xml:space="preserve">   4   </w:t>
      </w:r>
    </w:p>
    <w:p>
      <w:pPr>
        <w:ind w:left="0" w:right="0"/>
      </w:pPr>
      <w:r/>
    </w:p>
    <w:p>
      <w:pPr>
        <w:ind w:left="0" w:right="0"/>
      </w:pPr>
      <w:r/>
      <w:r>
        <w:t>1. Заполненный пропуск в схеме: Подзаконные акты</w:t>
        <w:br/>
      </w:r>
      <w:r>
        <w:t>2. а) Источники права формируют правовые нормы, которые регулируют общественные отношения, устанавливают права и обязанности граждан и организаций. Каждый источник права имеет свою силу и область применения, и их совокупность создает правовую систему. Правовые нормы, установленные источниками права, обязательны для исполнения и влияют на повседневную жизнь людей.</w:t>
        <w:br/>
      </w:r>
      <w:r>
        <w:t>б) Пример: Конституция устанавливает основные принципы и права граждан, Законы</w:t>
        <w:br/>
      </w:r>
      <w:r>
        <w:t>конкретизируют и детализируют эти принципы, а подзаконные акты, такие как</w:t>
        <w:br/>
      </w:r>
      <w:r>
        <w:t>постановления правительства или приказания министерств, регулируют более</w:t>
        <w:br/>
      </w:r>
      <w:r>
        <w:t>специфические аспекты. Например, Закон о трудовых отношениях устанавливает права</w:t>
        <w:br/>
      </w:r>
      <w:r>
        <w:t>работников и работодателей, а подзаконные акты могут детализировать правила по</w:t>
        <w:br/>
      </w:r>
      <w:r>
        <w:t>оформлению трудового договора и условиям его расторжения.</w:t>
      </w:r>
    </w:p>
    <w:p>
      <w:pPr>
        <w:pStyle w:val="aa"/>
        <w:ind w:left="0" w:right="0"/>
      </w:pPr>
      <w:r/>
      <w:r>
        <w:t xml:space="preserve">   5   </w:t>
      </w:r>
    </w:p>
    <w:p>
      <w:pPr>
        <w:ind w:left="0" w:right="0"/>
      </w:pPr>
      <w:r/>
    </w:p>
    <w:p>
      <w:pPr>
        <w:ind w:left="0" w:right="0"/>
      </w:pPr>
      <w:r/>
      <w:r>
        <w:t>Правильный ответ может содержать следующие элементы:</w:t>
        <w:br/>
      </w:r>
      <w:r>
        <w:t>1) ответ на первый вопрос, например: ругательство;</w:t>
        <w:br/>
      </w:r>
      <w:r>
        <w:t>2) объяснение, например: лучший способ воспитания – это личный пример, поэтому родители должны следить за своими словами и поступками; окружение оказывает влияние на формирование личности ребёнка, поэтому родители должны следить за тем, кто оказывается рядом с их детьми и как они себя ведут.</w:t>
      </w:r>
    </w:p>
    <w:p>
      <w:pPr>
        <w:pStyle w:val="aa"/>
        <w:ind w:left="0" w:right="0"/>
      </w:pPr>
      <w:r/>
      <w:r>
        <w:t xml:space="preserve">   6   </w:t>
      </w:r>
    </w:p>
    <w:p>
      <w:pPr>
        <w:ind w:left="0" w:right="0"/>
      </w:pPr>
      <w:r/>
    </w:p>
    <w:p>
      <w:pPr>
        <w:ind w:left="0" w:right="0"/>
      </w:pPr>
      <w:r/>
      <w:r>
        <w:t>Правильный ответ должен содержать следующие элементы:</w:t>
        <w:br/>
      </w:r>
      <w:r>
        <w:t>1) ответ на первый вопрос :</w:t>
        <w:br/>
      </w:r>
      <w:r>
        <w:t>– название малой группы: семья;</w:t>
        <w:br/>
      </w:r>
      <w:r>
        <w:t>– название формы отдыха, например: активный / занятия спортом.</w:t>
        <w:br/>
      </w:r>
      <w:r>
        <w:t>(Могут быть даны другие корректные названия малой группы и формы отдыха.)</w:t>
        <w:br/>
      </w:r>
      <w:r>
        <w:t xml:space="preserve">2) ответ на второй вопрос, например: это укрепляет семью, способствует росту  взаимопонимания, созданию комфортного психологического климата в семье и т.п. </w:t>
        <w:br/>
      </w:r>
      <w:r>
        <w:t>Может быть дан другой ответ на второй вопрос</w:t>
      </w:r>
    </w:p>
    <w:p>
      <w:pPr>
        <w:pStyle w:val="aa"/>
        <w:ind w:left="0" w:right="0"/>
      </w:pPr>
      <w:r/>
      <w:r>
        <w:t xml:space="preserve">   7   </w:t>
      </w:r>
    </w:p>
    <w:p>
      <w:pPr>
        <w:ind w:left="0" w:right="0"/>
      </w:pPr>
      <w:r/>
    </w:p>
    <w:p>
      <w:pPr>
        <w:ind w:left="0" w:right="0"/>
      </w:pPr>
      <w:r/>
      <w:r>
        <w:t xml:space="preserve">Правильный ответ должен содержать краткий (из 5–7 предложений) рассказ </w:t>
        <w:br/>
      </w:r>
      <w:r>
        <w:t>о субъекте РФ с использованием шести предложенных понятий, например:</w:t>
        <w:br/>
      </w:r>
      <w:r>
        <w:t>Субъект РФ, в котором я живу, – Красноярский край. Он входит в состав Сибирского федерального округа. Герб Красноярского края: в червлёном поле поверх лазоревого, смещённого вправо и тонко окаймлённого золотом столба, – золотой лев, держащий золотую лопату, а в левой – золотой серп. Флаг Красноярского края представляет собой прямоугольное красное полотнище, посредине флага расположен герб края. Административный центр – Красноярск. Одна из достопримечательностей Красноярского края – уникальный сосновый Анашенский бор, который находится на правобережье Енисея, на расстоянии 25 километров от села Новосёлово.</w:t>
        <w:br/>
      </w:r>
      <w:r>
        <w:t>Может быть составлено другое краткое сообщение с использованием шести предложенных понятий.</w:t>
        <w:br/>
      </w:r>
      <w:r>
        <w:rPr>
          <w:i/>
        </w:rPr>
        <w:t>Указание количества предложений в задании является ориентировочным</w:t>
      </w:r>
    </w:p>
    <w:sectPr w:rsidR="00F9512A" w:rsidRPr="007D7AEF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2995" w14:textId="77777777" w:rsidR="00607F5F" w:rsidRDefault="00607F5F" w:rsidP="0055011E">
      <w:pPr>
        <w:spacing w:before="0" w:after="0"/>
      </w:pPr>
      <w:r>
        <w:separator/>
      </w:r>
    </w:p>
  </w:endnote>
  <w:endnote w:type="continuationSeparator" w:id="0">
    <w:p w14:paraId="64FB32C5" w14:textId="77777777" w:rsidR="00607F5F" w:rsidRDefault="00607F5F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1C33" w14:textId="2A2029A5"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AE430E">
      <w:rPr>
        <w:color w:val="333333"/>
        <w:sz w:val="18"/>
        <w:szCs w:val="18"/>
      </w:rPr>
      <w:t>202</w:t>
    </w:r>
    <w:r w:rsidR="00C16B51">
      <w:rPr>
        <w:color w:val="333333"/>
        <w:sz w:val="18"/>
        <w:szCs w:val="18"/>
      </w:rPr>
      <w:t>6</w:t>
    </w:r>
    <w:r w:rsidR="00B93B75" w:rsidRPr="00B93B75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r>
      <w:rPr>
        <w:color w:val="333333"/>
        <w:sz w:val="18"/>
        <w:szCs w:val="18"/>
        <w:lang w:val="en-US"/>
      </w:rPr>
      <w:t>esuo</w:t>
    </w:r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C16B51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D8E9" w14:textId="77777777" w:rsidR="00607F5F" w:rsidRDefault="00607F5F" w:rsidP="0055011E">
      <w:pPr>
        <w:spacing w:before="0" w:after="0"/>
      </w:pPr>
      <w:r>
        <w:separator/>
      </w:r>
    </w:p>
  </w:footnote>
  <w:footnote w:type="continuationSeparator" w:id="0">
    <w:p w14:paraId="208F476A" w14:textId="77777777" w:rsidR="00607F5F" w:rsidRDefault="00607F5F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C0416"/>
    <w:rsid w:val="00534CA2"/>
    <w:rsid w:val="0055011E"/>
    <w:rsid w:val="005B04AE"/>
    <w:rsid w:val="00607F5F"/>
    <w:rsid w:val="006109FC"/>
    <w:rsid w:val="00615432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16B51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FC426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2025-08-25T17:36:00Z</dcterms:modified>
</cp:coreProperties>
</file>